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31E0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8911D1" w:rsidRPr="008911D1" w:rsidRDefault="008911D1" w:rsidP="008911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Eléctrica, Ingeniería Electromecánica,</w:t>
            </w:r>
          </w:p>
          <w:p w:rsidR="005053AB" w:rsidRPr="00862CFC" w:rsidRDefault="008911D1" w:rsidP="008911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Electrónica e Ingeniería Aeronáutica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8911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AEE-1051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HORAS TEORIA 3 HORAS </w:t>
            </w:r>
            <w:r w:rsidR="008911D1">
              <w:rPr>
                <w:rFonts w:ascii="Arial" w:hAnsi="Arial" w:cs="Arial"/>
                <w:sz w:val="20"/>
                <w:szCs w:val="20"/>
              </w:rPr>
              <w:t>PRACTICAS 1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AB7C8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aporta al perfil del Ingeniero Electromecánico, Eléctrico, Electrónico y Aeronáutico, las competencias necesarias para interpretar datos que permitan mejorar los procesos de fabricación, investigación y diseño. Además, obtendrá la habilidad para plantear y solucionar problemas por medio de métodos estadísticos.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se encuentra ubicada al principio de la carrera y es importante para materias como formulación y evaluación de proyectos y administración y técnicas de mantenimiento. Además de que enseña cómo razonar de manera lógica la toma de decisiones en presencia de incertidumbre y variación.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8911D1" w:rsidRDefault="00170700" w:rsidP="008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Se organiza el curso en cinco temas.</w:t>
            </w:r>
          </w:p>
          <w:p w:rsidR="008911D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primero agrupa los contenidos conceptuales de la estadística descriptiva, identificando las diferentes medidas de tendencia central y de dispersión; de igual forma se abarca la distribución de frecuencias, gráficos estadísticos básicos y las técnicas de agrupación de datos para interpretar los valores esperados.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segundo tema se utilizan técnicas de muestreo para el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tema tres se consideran las funciones de distribución de probabilidad, para el análisis de datos y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la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toma correcta de decisiones.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tema cuatro abarca los diferentes tipos de estimaciones y muestreo estadístico y sus aplicaciones,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además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determinar intervalos de confianza, errores y tamaños de muestra.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En el tema cinco se abordan los conceptos de regresión, correlación, determinación y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estudiante utiliza los conocimientos adquiridos para poder mejorar la interpretación y aplicación de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procesos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estadísticos y probabilísticos que se presentan en la ingeniería.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Pr="004D61FA" w:rsidRDefault="00A40BBA" w:rsidP="00A40B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Conoce y aplica los conceptos de probabilidad y estadística como una herramienta en la solución de problemas de ingeniería e investigación y analiza e interpreta datos para implementar sistemas de control y evaluación de información estadística en la ingeniería y el mantenimiento.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911D1" w:rsidRDefault="005053AB" w:rsidP="008911D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</w:t>
      </w:r>
      <w:r w:rsidR="008911D1">
        <w:rPr>
          <w:rFonts w:ascii="Arial" w:hAnsi="Arial" w:cs="Arial"/>
          <w:b/>
          <w:sz w:val="20"/>
          <w:szCs w:val="20"/>
        </w:rPr>
        <w:t>is por competencias específicas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5053AB" w:rsidRPr="00862CFC" w:rsidRDefault="00D7786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2. 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Probabilidad</w:t>
            </w: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5053AB" w:rsidRPr="00862CFC" w:rsidRDefault="0000657F" w:rsidP="00D778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Conoce y aplica los axiomas y teoremas de</w:t>
            </w:r>
            <w:r w:rsidR="00D7786A">
              <w:rPr>
                <w:rFonts w:cs="TimesNewRomanPSMT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0657F">
              <w:rPr>
                <w:rFonts w:cs="TimesNewRomanPSMT"/>
                <w:sz w:val="20"/>
                <w:szCs w:val="20"/>
              </w:rPr>
              <w:t>probabilidad para dar solución a problemas.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00657F" w:rsidRPr="0000657F" w:rsidRDefault="0000657F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Probabilidad.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2.1. Probabilidad de eventos.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 xml:space="preserve">2.2. Espacio </w:t>
            </w:r>
            <w:proofErr w:type="spellStart"/>
            <w:r w:rsidRPr="0000657F">
              <w:rPr>
                <w:rFonts w:cs="TimesNewRomanPSMT"/>
                <w:sz w:val="20"/>
                <w:szCs w:val="20"/>
              </w:rPr>
              <w:t>muestral</w:t>
            </w:r>
            <w:proofErr w:type="spellEnd"/>
            <w:r w:rsidRPr="0000657F">
              <w:rPr>
                <w:rFonts w:cs="TimesNewRomanPSMT"/>
                <w:sz w:val="20"/>
                <w:szCs w:val="20"/>
              </w:rPr>
              <w:t>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2.3. Ocurrencia de eventos.</w:t>
            </w:r>
          </w:p>
          <w:p w:rsidR="002C6FCE" w:rsidRPr="0000657F" w:rsidRDefault="0000657F" w:rsidP="0000657F">
            <w:pPr>
              <w:ind w:right="62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2.4. Permutaciones y combinaciones.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2.5. Diagramas de árbol.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2.6. Axiomas de probabilidad.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>2.7. Independencia y probabilidad condicional.</w:t>
            </w:r>
          </w:p>
          <w:p w:rsidR="0000657F" w:rsidRPr="00311F7B" w:rsidRDefault="0000657F" w:rsidP="0000657F">
            <w:pPr>
              <w:ind w:right="62"/>
              <w:rPr>
                <w:rFonts w:cs="Arial"/>
                <w:sz w:val="20"/>
                <w:szCs w:val="20"/>
              </w:rPr>
            </w:pPr>
            <w:r w:rsidRPr="0000657F">
              <w:rPr>
                <w:rFonts w:cs="TimesNewRomanPSMT"/>
                <w:sz w:val="20"/>
                <w:szCs w:val="20"/>
              </w:rPr>
              <w:t xml:space="preserve">2.8. Teorema de </w:t>
            </w:r>
            <w:proofErr w:type="spellStart"/>
            <w:r w:rsidRPr="0000657F">
              <w:rPr>
                <w:rFonts w:cs="TimesNewRomanPSMT"/>
                <w:sz w:val="20"/>
                <w:szCs w:val="20"/>
              </w:rPr>
              <w:t>Bayes</w:t>
            </w:r>
            <w:proofErr w:type="spellEnd"/>
            <w:r w:rsidRPr="0000657F">
              <w:rPr>
                <w:rFonts w:cs="TimesNewRomanPSMT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Explicar los conceptos fundamentales de la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probabilidad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 Dar ejemplos mediante una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lluvia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 xml:space="preserve"> de ideas.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Discutir y presentar al grupo diferentes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aplicaciones, utilizando técnicas de conteo y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conjuntos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Realizar ejercicios para determinar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probabilidades, aplicando los axiomas de la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probabilidad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Investigar aplicaciones específicas del área,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que involucren probabilidad condicional y</w:t>
            </w:r>
          </w:p>
          <w:p w:rsidR="005053AB" w:rsidRPr="0000657F" w:rsidRDefault="0000657F" w:rsidP="000065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lastRenderedPageBreak/>
              <w:t xml:space="preserve">Teorema de </w:t>
            </w:r>
            <w:proofErr w:type="spellStart"/>
            <w:r w:rsidRPr="0000657F">
              <w:rPr>
                <w:rFonts w:eastAsia="SymbolMT" w:cs="TimesNewRomanPSMT"/>
                <w:sz w:val="20"/>
                <w:szCs w:val="20"/>
              </w:rPr>
              <w:t>Bayes</w:t>
            </w:r>
            <w:proofErr w:type="spellEnd"/>
            <w:r w:rsidR="009D7A9F" w:rsidRPr="000065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5053AB" w:rsidRPr="009D7A9F" w:rsidRDefault="00E12720" w:rsidP="000048A1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Capacidad de abstracción, análisis y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síntesis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Capacidad de aplicar los conocimientos en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la práctica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Capacidad para organizar y planificar el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tiempo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Capacidad de comunicación oral y escrita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Habilidades en el uso de las tecnologías de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la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 xml:space="preserve"> información y de la comunicación.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Capacidad para identificar, plantear y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resolver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 xml:space="preserve"> problemas.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Habilidades interpersonales.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lastRenderedPageBreak/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Capacidad de trabajo en equipo.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Habilidades para buscar, procesar y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analizar información procedente de fuentes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diversas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Explicar los conceptos fundamentales de la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probabilidad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 Dar ejemplos mediante una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lluvia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 xml:space="preserve"> de ideas.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Discutir y presentar al grupo diferentes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aplicaciones, utilizando técnicas de conteo y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conjuntos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Realizar ejercicios para determinar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probabilidades, aplicando los axiomas de la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proofErr w:type="gramStart"/>
            <w:r w:rsidRPr="0000657F">
              <w:rPr>
                <w:rFonts w:eastAsia="SymbolMT" w:cs="TimesNewRomanPSMT"/>
                <w:sz w:val="20"/>
                <w:szCs w:val="20"/>
              </w:rPr>
              <w:t>probabilidad</w:t>
            </w:r>
            <w:proofErr w:type="gramEnd"/>
            <w:r w:rsidRPr="0000657F">
              <w:rPr>
                <w:rFonts w:eastAsia="SymbolMT" w:cs="TimesNewRomanPSMT"/>
                <w:sz w:val="20"/>
                <w:szCs w:val="20"/>
              </w:rPr>
              <w:t>.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00657F">
              <w:rPr>
                <w:rFonts w:eastAsia="SymbolMT" w:cs="TimesNewRomanPSMT"/>
                <w:sz w:val="20"/>
                <w:szCs w:val="20"/>
              </w:rPr>
              <w:t>Investigar aplicaciones específicas del área,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>que involucren probabilidad condicional y</w:t>
            </w:r>
          </w:p>
          <w:p w:rsidR="0000657F" w:rsidRPr="0000657F" w:rsidRDefault="0000657F" w:rsidP="0000657F">
            <w:pPr>
              <w:autoSpaceDE w:val="0"/>
              <w:autoSpaceDN w:val="0"/>
              <w:adjustRightInd w:val="0"/>
              <w:rPr>
                <w:rFonts w:eastAsia="SymbolMT" w:cs="TimesNewRomanPSMT"/>
                <w:sz w:val="20"/>
                <w:szCs w:val="20"/>
              </w:rPr>
            </w:pPr>
            <w:r w:rsidRPr="0000657F">
              <w:rPr>
                <w:rFonts w:eastAsia="SymbolMT" w:cs="TimesNewRomanPSMT"/>
                <w:sz w:val="20"/>
                <w:szCs w:val="20"/>
              </w:rPr>
              <w:t xml:space="preserve">Teorema de </w:t>
            </w:r>
            <w:proofErr w:type="spellStart"/>
            <w:r w:rsidRPr="0000657F">
              <w:rPr>
                <w:rFonts w:eastAsia="SymbolMT" w:cs="TimesNewRomanPSMT"/>
                <w:sz w:val="20"/>
                <w:szCs w:val="20"/>
              </w:rPr>
              <w:t>Bayes</w:t>
            </w:r>
            <w:proofErr w:type="spellEnd"/>
            <w:r w:rsidRPr="0000657F">
              <w:rPr>
                <w:rFonts w:eastAsia="SymbolMT" w:cs="TimesNewRomanPSMT"/>
                <w:sz w:val="20"/>
                <w:szCs w:val="20"/>
              </w:rPr>
              <w:t>.</w:t>
            </w: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lastRenderedPageBreak/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Anderson, D. R.,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Sweeney</w:t>
            </w:r>
            <w:proofErr w:type="gram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,D</w:t>
            </w:r>
            <w:proofErr w:type="spellEnd"/>
            <w:proofErr w:type="gram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. J., Williams, T. A. (2008).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Estadística para administración y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economía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(10ª Ed.). México: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Cengage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Editores.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Carto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, A. V. (2001). Control estadístico de la calidad. Editorial Alfa Omega.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4. Gutiérrez, A. L. (2012).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estadística. Enfoque por competencias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. </w:t>
            </w:r>
            <w:r w:rsidRPr="0000657F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México: </w:t>
            </w: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Editorial</w:t>
            </w:r>
          </w:p>
          <w:p w:rsidR="004874A8" w:rsidRPr="0000657F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</w:pPr>
            <w:r w:rsidRPr="0000657F">
              <w:rPr>
                <w:rFonts w:ascii="TimesNewRomanPSMT" w:hAnsi="TimesNewRomanPSMT" w:cs="TimesNewRomanPSMT"/>
                <w:color w:val="333333"/>
                <w:sz w:val="24"/>
                <w:szCs w:val="24"/>
                <w:lang w:val="en-US"/>
              </w:rPr>
              <w:t>McGraw Hill Higher Education.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5. Montgomery, D.C.,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Runger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, G.C.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aplicadas a la ingeniería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Editorial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Limusa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 Wiley.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6. Montgomery, D.C. (2012). Introduction to statistical quality (7ª Ed.).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7. Montgomery, D.C. </w:t>
            </w:r>
            <w:r w:rsidRPr="004874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Introduction to statistical quality control </w:t>
            </w: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(7ª Ed.). Editorial John Willey and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Sons, Inc.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8. Walpole, R.E., Myers, R.H., Myers, S.L. (1999).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Probabilidad y estadística para ingenieros (6ª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Ed.).Editorial Prentice Hall.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M., Schiller, J.,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Srinivasan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R. A.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10. Meyer, L. P.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aplicaciones estadísticas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lastRenderedPageBreak/>
              <w:t>Editorial Fondo Educativo Interamericano.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11. Miller, I.,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Freuno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J.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para ingenieros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Prentice Hall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Kreyszing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Estadística matemática.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Editorial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Limusa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 R.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 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http://bc.unam.mx/index-alterno.html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(base de datos de tesis de la UNAM).</w:t>
            </w:r>
          </w:p>
          <w:p w:rsidR="00ED5870" w:rsidRPr="00862CFC" w:rsidRDefault="004874A8" w:rsidP="004874A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http://www.universia.net.mx/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(portal de universidades mexicanas).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lastRenderedPageBreak/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00657F">
      <w:pPr>
        <w:pStyle w:val="Sinespaciado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3"/>
        <w:gridCol w:w="764"/>
        <w:gridCol w:w="764"/>
        <w:gridCol w:w="764"/>
        <w:gridCol w:w="764"/>
        <w:gridCol w:w="764"/>
        <w:gridCol w:w="79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A040A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A040A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A040A5" w:rsidP="00A040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A040A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9366E0" w:rsidRPr="00862CFC" w:rsidRDefault="009366E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4874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57" w:rsidRDefault="002C6057" w:rsidP="00862CFC">
      <w:pPr>
        <w:spacing w:after="0" w:line="240" w:lineRule="auto"/>
      </w:pPr>
      <w:r>
        <w:separator/>
      </w:r>
    </w:p>
  </w:endnote>
  <w:endnote w:type="continuationSeparator" w:id="0">
    <w:p w:rsidR="002C6057" w:rsidRDefault="002C6057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57" w:rsidRDefault="002C6057" w:rsidP="00862CFC">
      <w:pPr>
        <w:spacing w:after="0" w:line="240" w:lineRule="auto"/>
      </w:pPr>
      <w:r>
        <w:separator/>
      </w:r>
    </w:p>
  </w:footnote>
  <w:footnote w:type="continuationSeparator" w:id="0">
    <w:p w:rsidR="002C6057" w:rsidRDefault="002C6057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2C6057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8730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6A11A5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6A11A5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63FC5"/>
    <w:multiLevelType w:val="hybridMultilevel"/>
    <w:tmpl w:val="63FC4302"/>
    <w:lvl w:ilvl="0" w:tplc="1E7014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3"/>
  </w:num>
  <w:num w:numId="12">
    <w:abstractNumId w:val="2"/>
  </w:num>
  <w:num w:numId="13">
    <w:abstractNumId w:val="1"/>
  </w:num>
  <w:num w:numId="14">
    <w:abstractNumId w:val="9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0657F"/>
    <w:rsid w:val="00015F7E"/>
    <w:rsid w:val="00016390"/>
    <w:rsid w:val="0001678B"/>
    <w:rsid w:val="00027038"/>
    <w:rsid w:val="000300FF"/>
    <w:rsid w:val="00031DD0"/>
    <w:rsid w:val="00055465"/>
    <w:rsid w:val="000626FF"/>
    <w:rsid w:val="00063088"/>
    <w:rsid w:val="000631FB"/>
    <w:rsid w:val="00070E72"/>
    <w:rsid w:val="000B7A39"/>
    <w:rsid w:val="000E3531"/>
    <w:rsid w:val="00106009"/>
    <w:rsid w:val="00160D9F"/>
    <w:rsid w:val="00170700"/>
    <w:rsid w:val="001D7549"/>
    <w:rsid w:val="00206F1D"/>
    <w:rsid w:val="00227DF1"/>
    <w:rsid w:val="00233468"/>
    <w:rsid w:val="002676DB"/>
    <w:rsid w:val="00293FBE"/>
    <w:rsid w:val="002C6057"/>
    <w:rsid w:val="002C6FCE"/>
    <w:rsid w:val="0031139B"/>
    <w:rsid w:val="00311F7B"/>
    <w:rsid w:val="00373659"/>
    <w:rsid w:val="003A6013"/>
    <w:rsid w:val="003B5424"/>
    <w:rsid w:val="003B6648"/>
    <w:rsid w:val="004874A8"/>
    <w:rsid w:val="00493A2D"/>
    <w:rsid w:val="004C4339"/>
    <w:rsid w:val="004D61FA"/>
    <w:rsid w:val="004F065B"/>
    <w:rsid w:val="005053AB"/>
    <w:rsid w:val="00536B92"/>
    <w:rsid w:val="00546051"/>
    <w:rsid w:val="005624BE"/>
    <w:rsid w:val="00590A65"/>
    <w:rsid w:val="00593663"/>
    <w:rsid w:val="006A11A5"/>
    <w:rsid w:val="007172B6"/>
    <w:rsid w:val="00744965"/>
    <w:rsid w:val="007A22EC"/>
    <w:rsid w:val="00824F18"/>
    <w:rsid w:val="008413B2"/>
    <w:rsid w:val="00862CFC"/>
    <w:rsid w:val="00865C4A"/>
    <w:rsid w:val="008911D1"/>
    <w:rsid w:val="008B7DAF"/>
    <w:rsid w:val="008C7776"/>
    <w:rsid w:val="009366E0"/>
    <w:rsid w:val="00971736"/>
    <w:rsid w:val="009905D5"/>
    <w:rsid w:val="00992C3B"/>
    <w:rsid w:val="009D7A9F"/>
    <w:rsid w:val="00A040A5"/>
    <w:rsid w:val="00A31E05"/>
    <w:rsid w:val="00A37058"/>
    <w:rsid w:val="00A40BBA"/>
    <w:rsid w:val="00A87836"/>
    <w:rsid w:val="00AB7C81"/>
    <w:rsid w:val="00AD3509"/>
    <w:rsid w:val="00AE14E7"/>
    <w:rsid w:val="00AE39FF"/>
    <w:rsid w:val="00B23CAE"/>
    <w:rsid w:val="00B31A95"/>
    <w:rsid w:val="00BA5082"/>
    <w:rsid w:val="00BB2F70"/>
    <w:rsid w:val="00BE7924"/>
    <w:rsid w:val="00C127DC"/>
    <w:rsid w:val="00C2069A"/>
    <w:rsid w:val="00C36C21"/>
    <w:rsid w:val="00C418BD"/>
    <w:rsid w:val="00CF4E9C"/>
    <w:rsid w:val="00D56F0A"/>
    <w:rsid w:val="00D7786A"/>
    <w:rsid w:val="00DB7692"/>
    <w:rsid w:val="00DC46A5"/>
    <w:rsid w:val="00DD7D08"/>
    <w:rsid w:val="00DE26A7"/>
    <w:rsid w:val="00E12720"/>
    <w:rsid w:val="00E63E4A"/>
    <w:rsid w:val="00ED5870"/>
    <w:rsid w:val="00F34D3D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3281</Words>
  <Characters>18050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4</cp:revision>
  <cp:lastPrinted>2018-01-26T19:30:00Z</cp:lastPrinted>
  <dcterms:created xsi:type="dcterms:W3CDTF">2018-01-26T19:18:00Z</dcterms:created>
  <dcterms:modified xsi:type="dcterms:W3CDTF">2018-01-26T19:32:00Z</dcterms:modified>
</cp:coreProperties>
</file>